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B7A43" w14:textId="77777777" w:rsidR="00F81B2E" w:rsidRPr="00F81B2E" w:rsidRDefault="00F81B2E" w:rsidP="00F81B2E">
      <w:pPr>
        <w:widowControl/>
        <w:jc w:val="left"/>
        <w:rPr>
          <w:rFonts w:ascii="仿宋" w:eastAsia="仿宋" w:hAnsi="仿宋" w:cs="仿宋" w:hint="eastAsia"/>
          <w:sz w:val="30"/>
          <w:szCs w:val="30"/>
          <w14:ligatures w14:val="none"/>
        </w:rPr>
      </w:pPr>
      <w:r w:rsidRPr="00F81B2E">
        <w:rPr>
          <w:rFonts w:ascii="仿宋" w:eastAsia="仿宋" w:hAnsi="仿宋" w:cs="仿宋" w:hint="eastAsia"/>
          <w:sz w:val="30"/>
          <w:szCs w:val="30"/>
          <w14:ligatures w14:val="none"/>
        </w:rPr>
        <w:t>附件3：</w:t>
      </w:r>
    </w:p>
    <w:p w14:paraId="111E422C" w14:textId="77777777" w:rsidR="00F81B2E" w:rsidRPr="00F81B2E" w:rsidRDefault="00F81B2E" w:rsidP="00F81B2E">
      <w:pPr>
        <w:widowControl/>
        <w:contextualSpacing/>
        <w:jc w:val="center"/>
        <w:rPr>
          <w:rFonts w:ascii="仿宋" w:eastAsia="仿宋" w:hAnsi="仿宋" w:cs="仿宋" w:hint="eastAsia"/>
          <w:sz w:val="32"/>
          <w:szCs w:val="32"/>
          <w14:ligatures w14:val="none"/>
        </w:rPr>
      </w:pPr>
      <w:r w:rsidRPr="00F81B2E">
        <w:rPr>
          <w:rFonts w:ascii="仿宋" w:eastAsia="仿宋" w:hAnsi="仿宋" w:cs="仿宋" w:hint="eastAsia"/>
          <w:b/>
          <w:sz w:val="32"/>
          <w:szCs w:val="32"/>
          <w14:ligatures w14:val="none"/>
        </w:rPr>
        <w:t>山东京博控股集团有限公司简介</w:t>
      </w:r>
    </w:p>
    <w:p w14:paraId="50DD3FB1" w14:textId="77777777" w:rsidR="00F81B2E" w:rsidRPr="00F81B2E" w:rsidRDefault="00F81B2E" w:rsidP="00F81B2E">
      <w:pPr>
        <w:widowControl/>
        <w:spacing w:line="520" w:lineRule="exact"/>
        <w:ind w:firstLineChars="200" w:firstLine="600"/>
        <w:rPr>
          <w:rFonts w:ascii="仿宋" w:eastAsia="仿宋" w:hAnsi="仿宋" w:cs="仿宋" w:hint="eastAsia"/>
          <w:sz w:val="30"/>
          <w:szCs w:val="30"/>
          <w14:ligatures w14:val="none"/>
        </w:rPr>
      </w:pPr>
      <w:r w:rsidRPr="00F81B2E">
        <w:rPr>
          <w:rFonts w:ascii="仿宋" w:eastAsia="仿宋" w:hAnsi="仿宋" w:cs="仿宋" w:hint="eastAsia"/>
          <w:sz w:val="30"/>
          <w:szCs w:val="30"/>
          <w14:ligatures w14:val="none"/>
        </w:rPr>
        <w:t>山东京博控股集团有限公司（以下简称“京博”）成立于1991年，前身是一家校办工厂。通过逐步改制，京博现已成为由社会公益慈善组织和职业经理人合</w:t>
      </w:r>
      <w:r w:rsidRPr="00F81B2E">
        <w:rPr>
          <w:rFonts w:ascii="仿宋" w:eastAsia="仿宋" w:hAnsi="仿宋" w:cs="仿宋"/>
          <w:sz w:val="30"/>
          <w:szCs w:val="30"/>
          <w14:ligatures w14:val="none"/>
        </w:rPr>
        <w:t>夥</w:t>
      </w:r>
      <w:r w:rsidRPr="00F81B2E">
        <w:rPr>
          <w:rFonts w:ascii="仿宋" w:eastAsia="仿宋" w:hAnsi="仿宋" w:cs="仿宋" w:hint="eastAsia"/>
          <w:sz w:val="30"/>
          <w:szCs w:val="30"/>
          <w14:ligatures w14:val="none"/>
        </w:rPr>
        <w:t>出资兴办的多元化工业集团，致力于为全球客户和伙伴提供高品质的产品、服务和系统解决方案。</w:t>
      </w:r>
    </w:p>
    <w:p w14:paraId="52E13B7F" w14:textId="77777777" w:rsidR="00F81B2E" w:rsidRPr="00F81B2E" w:rsidRDefault="00F81B2E" w:rsidP="00F81B2E">
      <w:pPr>
        <w:widowControl/>
        <w:spacing w:line="520" w:lineRule="exact"/>
        <w:ind w:firstLineChars="200" w:firstLine="600"/>
        <w:rPr>
          <w:rFonts w:ascii="仿宋" w:eastAsia="仿宋" w:hAnsi="仿宋" w:cs="仿宋" w:hint="eastAsia"/>
          <w:sz w:val="30"/>
          <w:szCs w:val="30"/>
          <w14:ligatures w14:val="none"/>
        </w:rPr>
      </w:pPr>
      <w:r w:rsidRPr="00F81B2E">
        <w:rPr>
          <w:rFonts w:ascii="仿宋" w:eastAsia="仿宋" w:hAnsi="仿宋" w:cs="仿宋" w:hint="eastAsia"/>
          <w:sz w:val="30"/>
          <w:szCs w:val="30"/>
          <w14:ligatures w14:val="none"/>
        </w:rPr>
        <w:t>京博的业务聚焦高性能材料和高端化学品及与之配套发展的特殊高端装备和核心工业服务业。公司现有员工12000余名，拥有4个大型生产基地，销售服务网络遍及全球30余个国家和地区。2024年，京博实现全球销售收入1030亿元人民币，位居中国企业500强第275位，中国民营企业500强第128位，亚洲品牌500强第316位。</w:t>
      </w:r>
    </w:p>
    <w:p w14:paraId="25B45AF1" w14:textId="77777777" w:rsidR="00F81B2E" w:rsidRPr="00F81B2E" w:rsidRDefault="00F81B2E" w:rsidP="00F81B2E">
      <w:pPr>
        <w:widowControl/>
        <w:spacing w:line="520" w:lineRule="exact"/>
        <w:ind w:firstLineChars="200" w:firstLine="600"/>
        <w:rPr>
          <w:rFonts w:ascii="仿宋" w:eastAsia="仿宋" w:hAnsi="仿宋" w:cs="仿宋" w:hint="eastAsia"/>
          <w:sz w:val="30"/>
          <w:szCs w:val="30"/>
          <w14:ligatures w14:val="none"/>
        </w:rPr>
      </w:pPr>
      <w:r w:rsidRPr="00F81B2E">
        <w:rPr>
          <w:rFonts w:ascii="仿宋" w:eastAsia="仿宋" w:hAnsi="仿宋" w:cs="仿宋" w:hint="eastAsia"/>
          <w:sz w:val="30"/>
          <w:szCs w:val="30"/>
          <w14:ligatures w14:val="none"/>
        </w:rPr>
        <w:t>作为创新驱动型企业，京博拥有8大研发基地和</w:t>
      </w:r>
      <w:proofErr w:type="gramStart"/>
      <w:r w:rsidRPr="00F81B2E">
        <w:rPr>
          <w:rFonts w:ascii="仿宋" w:eastAsia="仿宋" w:hAnsi="仿宋" w:cs="仿宋" w:hint="eastAsia"/>
          <w:sz w:val="30"/>
          <w:szCs w:val="30"/>
          <w14:ligatures w14:val="none"/>
        </w:rPr>
        <w:t>13个科创中心</w:t>
      </w:r>
      <w:proofErr w:type="gramEnd"/>
      <w:r w:rsidRPr="00F81B2E">
        <w:rPr>
          <w:rFonts w:ascii="仿宋" w:eastAsia="仿宋" w:hAnsi="仿宋" w:cs="仿宋" w:hint="eastAsia"/>
          <w:sz w:val="30"/>
          <w:szCs w:val="30"/>
          <w14:ligatures w14:val="none"/>
        </w:rPr>
        <w:t>，研发团队规模超过1000人，2024年研发投入达18亿元人民币。公司拥有2个国家级科研平台，4个博士后科研工作站和博士后创新实践基地，并在海内外搭建创新合作平台。截至目前，持有授权专利</w:t>
      </w:r>
      <w:proofErr w:type="gramStart"/>
      <w:r w:rsidRPr="00F81B2E">
        <w:rPr>
          <w:rFonts w:ascii="仿宋" w:eastAsia="仿宋" w:hAnsi="仿宋" w:cs="仿宋" w:hint="eastAsia"/>
          <w:sz w:val="30"/>
          <w:szCs w:val="30"/>
          <w14:ligatures w14:val="none"/>
        </w:rPr>
        <w:t>1275余件</w:t>
      </w:r>
      <w:proofErr w:type="gramEnd"/>
      <w:r w:rsidRPr="00F81B2E">
        <w:rPr>
          <w:rFonts w:ascii="仿宋" w:eastAsia="仿宋" w:hAnsi="仿宋" w:cs="仿宋" w:hint="eastAsia"/>
          <w:sz w:val="30"/>
          <w:szCs w:val="30"/>
          <w14:ligatures w14:val="none"/>
        </w:rPr>
        <w:t>，有效注册商标</w:t>
      </w:r>
      <w:proofErr w:type="gramStart"/>
      <w:r w:rsidRPr="00F81B2E">
        <w:rPr>
          <w:rFonts w:ascii="仿宋" w:eastAsia="仿宋" w:hAnsi="仿宋" w:cs="仿宋" w:hint="eastAsia"/>
          <w:sz w:val="30"/>
          <w:szCs w:val="30"/>
          <w14:ligatures w14:val="none"/>
        </w:rPr>
        <w:t>2168余个</w:t>
      </w:r>
      <w:proofErr w:type="gramEnd"/>
      <w:r w:rsidRPr="00F81B2E">
        <w:rPr>
          <w:rFonts w:ascii="仿宋" w:eastAsia="仿宋" w:hAnsi="仿宋" w:cs="仿宋" w:hint="eastAsia"/>
          <w:sz w:val="30"/>
          <w:szCs w:val="30"/>
          <w14:ligatures w14:val="none"/>
        </w:rPr>
        <w:t>。</w:t>
      </w:r>
    </w:p>
    <w:p w14:paraId="1311A74B" w14:textId="77777777" w:rsidR="00F81B2E" w:rsidRPr="00F81B2E" w:rsidRDefault="00F81B2E" w:rsidP="00F81B2E">
      <w:pPr>
        <w:widowControl/>
        <w:spacing w:line="520" w:lineRule="exact"/>
        <w:ind w:firstLineChars="200" w:firstLine="600"/>
        <w:rPr>
          <w:rFonts w:ascii="仿宋" w:eastAsia="仿宋" w:hAnsi="仿宋" w:cs="仿宋" w:hint="eastAsia"/>
          <w:sz w:val="30"/>
          <w:szCs w:val="30"/>
          <w14:ligatures w14:val="none"/>
        </w:rPr>
      </w:pPr>
      <w:r w:rsidRPr="00F81B2E">
        <w:rPr>
          <w:rFonts w:ascii="仿宋" w:eastAsia="仿宋" w:hAnsi="仿宋" w:cs="仿宋" w:hint="eastAsia"/>
          <w:sz w:val="30"/>
          <w:szCs w:val="30"/>
          <w14:ligatures w14:val="none"/>
        </w:rPr>
        <w:t>自2019年起，京博联合中国化学会举办“京博科技奖”，旨在为化学化工、材料行业的技术发展和转型升级提供科研力量，迄今共评选出386位获奖者，累计发放奖金1710万元。</w:t>
      </w:r>
    </w:p>
    <w:p w14:paraId="274BB69F" w14:textId="77777777" w:rsidR="00F81B2E" w:rsidRPr="00F81B2E" w:rsidRDefault="00F81B2E" w:rsidP="00F81B2E">
      <w:pPr>
        <w:widowControl/>
        <w:spacing w:line="520" w:lineRule="exact"/>
        <w:ind w:firstLineChars="200" w:firstLine="600"/>
        <w:rPr>
          <w:rFonts w:ascii="仿宋" w:eastAsia="仿宋" w:hAnsi="仿宋" w:cs="仿宋" w:hint="eastAsia"/>
          <w:sz w:val="30"/>
          <w:szCs w:val="30"/>
          <w14:ligatures w14:val="none"/>
        </w:rPr>
      </w:pPr>
      <w:r w:rsidRPr="00F81B2E">
        <w:rPr>
          <w:rFonts w:ascii="仿宋" w:eastAsia="仿宋" w:hAnsi="仿宋" w:cs="仿宋" w:hint="eastAsia"/>
          <w:sz w:val="30"/>
          <w:szCs w:val="30"/>
          <w14:ligatures w14:val="none"/>
        </w:rPr>
        <w:t>京博首倡“N1N模式”，与海内外知名高校共建教学</w:t>
      </w:r>
      <w:proofErr w:type="gramStart"/>
      <w:r w:rsidRPr="00F81B2E">
        <w:rPr>
          <w:rFonts w:ascii="仿宋" w:eastAsia="仿宋" w:hAnsi="仿宋" w:cs="仿宋" w:hint="eastAsia"/>
          <w:sz w:val="30"/>
          <w:szCs w:val="30"/>
          <w14:ligatures w14:val="none"/>
        </w:rPr>
        <w:t>实训与科研</w:t>
      </w:r>
      <w:proofErr w:type="gramEnd"/>
      <w:r w:rsidRPr="00F81B2E">
        <w:rPr>
          <w:rFonts w:ascii="仿宋" w:eastAsia="仿宋" w:hAnsi="仿宋" w:cs="仿宋" w:hint="eastAsia"/>
          <w:sz w:val="30"/>
          <w:szCs w:val="30"/>
          <w14:ligatures w14:val="none"/>
        </w:rPr>
        <w:t>转化基地，嫁接起高校与企业合作发展的新桥梁，促进教育链、人才链与产业链、创新链融合，打通了科技成果转化的“最后一公里”。京博N1N教学</w:t>
      </w:r>
      <w:proofErr w:type="gramStart"/>
      <w:r w:rsidRPr="00F81B2E">
        <w:rPr>
          <w:rFonts w:ascii="仿宋" w:eastAsia="仿宋" w:hAnsi="仿宋" w:cs="仿宋" w:hint="eastAsia"/>
          <w:sz w:val="30"/>
          <w:szCs w:val="30"/>
          <w14:ligatures w14:val="none"/>
        </w:rPr>
        <w:t>实训与科研</w:t>
      </w:r>
      <w:proofErr w:type="gramEnd"/>
      <w:r w:rsidRPr="00F81B2E">
        <w:rPr>
          <w:rFonts w:ascii="仿宋" w:eastAsia="仿宋" w:hAnsi="仿宋" w:cs="仿宋" w:hint="eastAsia"/>
          <w:sz w:val="30"/>
          <w:szCs w:val="30"/>
          <w14:ligatures w14:val="none"/>
        </w:rPr>
        <w:t>转化基地已承接来自全球百余所高校的12000余名学生在此学习实践。</w:t>
      </w:r>
    </w:p>
    <w:p w14:paraId="1EA9CB74" w14:textId="77777777" w:rsidR="00F81B2E" w:rsidRPr="00F81B2E" w:rsidRDefault="00F81B2E" w:rsidP="00F81B2E">
      <w:pPr>
        <w:widowControl/>
        <w:spacing w:line="520" w:lineRule="exact"/>
        <w:ind w:firstLineChars="200" w:firstLine="600"/>
        <w:rPr>
          <w:rFonts w:ascii="仿宋" w:eastAsia="仿宋" w:hAnsi="仿宋" w:cs="仿宋" w:hint="eastAsia"/>
          <w:sz w:val="30"/>
          <w:szCs w:val="30"/>
          <w14:ligatures w14:val="none"/>
        </w:rPr>
      </w:pPr>
      <w:r w:rsidRPr="00F81B2E">
        <w:rPr>
          <w:rFonts w:ascii="仿宋" w:eastAsia="仿宋" w:hAnsi="仿宋" w:cs="仿宋" w:hint="eastAsia"/>
          <w:sz w:val="30"/>
          <w:szCs w:val="30"/>
          <w14:ligatures w14:val="none"/>
        </w:rPr>
        <w:lastRenderedPageBreak/>
        <w:t>建设京博N1N校企合作命运共同体，教育部产学合作协同育人项目2019年—2024年已立项实施152项，教育部供需对接就业育人项目2021—2024年已立项实施125项。</w:t>
      </w:r>
    </w:p>
    <w:p w14:paraId="72EEE4DF" w14:textId="77777777" w:rsidR="00F81B2E" w:rsidRPr="00F81B2E" w:rsidRDefault="00F81B2E" w:rsidP="00F81B2E">
      <w:pPr>
        <w:widowControl/>
        <w:spacing w:line="520" w:lineRule="exact"/>
        <w:ind w:firstLineChars="200" w:firstLine="600"/>
        <w:rPr>
          <w:rFonts w:ascii="仿宋" w:eastAsia="仿宋" w:hAnsi="仿宋" w:cs="仿宋" w:hint="eastAsia"/>
          <w:sz w:val="30"/>
          <w:szCs w:val="30"/>
          <w14:ligatures w14:val="none"/>
        </w:rPr>
      </w:pPr>
      <w:r w:rsidRPr="00F81B2E">
        <w:rPr>
          <w:rFonts w:ascii="仿宋" w:eastAsia="仿宋" w:hAnsi="仿宋" w:cs="仿宋" w:hint="eastAsia"/>
          <w:sz w:val="30"/>
          <w:szCs w:val="30"/>
          <w14:ligatures w14:val="none"/>
        </w:rPr>
        <w:t>入选教育部、省级新工科项目4项：①与中国化工学会、天津大学成功联合申报《化工教育实践创新联盟机制研究与实践》；②与中国石油大学（华东）成功联合申报《基于新旧动能转换的高端化工产业学院建设探索与实践》；③与大连理工大学成功联合申报《多学科交叉融合的“化工+”创新型工程教育组织模式研究与实践》；④与西安交通大学成功联合申报《基于“产教融合”的化工专业多元协同育人模式构建》。</w:t>
      </w:r>
    </w:p>
    <w:p w14:paraId="51CF4701" w14:textId="77777777" w:rsidR="00F81B2E" w:rsidRPr="00F81B2E" w:rsidRDefault="00F81B2E" w:rsidP="00F81B2E">
      <w:pPr>
        <w:widowControl/>
        <w:spacing w:line="520" w:lineRule="exact"/>
        <w:ind w:firstLineChars="200" w:firstLine="600"/>
        <w:rPr>
          <w:rFonts w:ascii="仿宋" w:eastAsia="仿宋" w:hAnsi="仿宋" w:cs="仿宋" w:hint="eastAsia"/>
          <w:sz w:val="30"/>
          <w:szCs w:val="30"/>
          <w14:ligatures w14:val="none"/>
        </w:rPr>
      </w:pPr>
      <w:r w:rsidRPr="00F81B2E">
        <w:rPr>
          <w:rFonts w:ascii="仿宋" w:eastAsia="仿宋" w:hAnsi="仿宋" w:cs="仿宋" w:hint="eastAsia"/>
          <w:sz w:val="30"/>
          <w:szCs w:val="30"/>
          <w14:ligatures w14:val="none"/>
        </w:rPr>
        <w:t>天津市本科教学质量与教学改革重点项目：与天津大学成功联合申报《共享融合的“智慧化工”实践教学综合改革》</w:t>
      </w:r>
    </w:p>
    <w:p w14:paraId="17E3E548" w14:textId="77777777" w:rsidR="00F81B2E" w:rsidRPr="00F81B2E" w:rsidRDefault="00F81B2E" w:rsidP="00F81B2E">
      <w:pPr>
        <w:widowControl/>
        <w:spacing w:line="520" w:lineRule="exact"/>
        <w:ind w:firstLineChars="200" w:firstLine="600"/>
        <w:rPr>
          <w:rFonts w:ascii="仿宋" w:eastAsia="仿宋" w:hAnsi="仿宋" w:cs="仿宋" w:hint="eastAsia"/>
          <w:sz w:val="30"/>
          <w:szCs w:val="30"/>
          <w14:ligatures w14:val="none"/>
        </w:rPr>
      </w:pPr>
      <w:r w:rsidRPr="00F81B2E">
        <w:rPr>
          <w:rFonts w:ascii="仿宋" w:eastAsia="仿宋" w:hAnsi="仿宋" w:cs="仿宋" w:hint="eastAsia"/>
          <w:sz w:val="30"/>
          <w:szCs w:val="30"/>
          <w14:ligatures w14:val="none"/>
        </w:rPr>
        <w:t>省级研究生联合培养基地5个：①与大连理工大学共建的研究生培养基地入选辽宁省研究生联合培养项目；②与中国石油大学（华东）共建的研究生培养基地入选山东省省级产教融合研究生联合培养示范基地；③与青岛科技大学共建的研究生培养基地入选山东省省级产教融合研究生联合培养示范基地；④与武汉纺织大学共建的研究生培养基地入选湖北省研究生工作站项目；⑤与南京农业大学共建的研究生培养基地入选江苏省研究生工作站项目。</w:t>
      </w:r>
    </w:p>
    <w:p w14:paraId="1CDFAE8F" w14:textId="77777777" w:rsidR="00F81B2E" w:rsidRPr="00F81B2E" w:rsidRDefault="00F81B2E" w:rsidP="00F81B2E">
      <w:pPr>
        <w:widowControl/>
        <w:spacing w:line="520" w:lineRule="exact"/>
        <w:ind w:firstLineChars="200" w:firstLine="600"/>
        <w:rPr>
          <w:rFonts w:ascii="仿宋" w:eastAsia="仿宋" w:hAnsi="仿宋" w:cs="仿宋" w:hint="eastAsia"/>
          <w:sz w:val="30"/>
          <w:szCs w:val="30"/>
          <w14:ligatures w14:val="none"/>
        </w:rPr>
      </w:pPr>
      <w:r w:rsidRPr="00F81B2E">
        <w:rPr>
          <w:rFonts w:ascii="仿宋" w:eastAsia="仿宋" w:hAnsi="仿宋" w:cs="仿宋" w:hint="eastAsia"/>
          <w:sz w:val="30"/>
          <w:szCs w:val="30"/>
          <w14:ligatures w14:val="none"/>
        </w:rPr>
        <w:t>共建现代产业学院6个：①与中国石油大学（华东）共建“中石大－京博高端化工产业学院” （获批山东省首批现代产业学院建设立项）；②与吉林化工学院共建“吉林化工学院－京博绿色化工产业学院”（获批吉林省首批现代产业学院建设立项）；③与山东化工职业学院共建“山化院－京博化工技术产业学院”；④与山东农业大学共建“京博现代农业产业学院”；⑤与西安交通大学共建“西交大－京博现代产业学院”；⑥与滨州学院共建“现代化工产业学院”。</w:t>
      </w:r>
    </w:p>
    <w:p w14:paraId="4C386EA7" w14:textId="77777777" w:rsidR="00F81B2E" w:rsidRPr="00F81B2E" w:rsidRDefault="00F81B2E" w:rsidP="00F81B2E">
      <w:pPr>
        <w:widowControl/>
        <w:spacing w:line="520" w:lineRule="exact"/>
        <w:ind w:firstLineChars="200" w:firstLine="600"/>
        <w:rPr>
          <w:rFonts w:ascii="仿宋" w:eastAsia="仿宋" w:hAnsi="仿宋" w:cs="仿宋" w:hint="eastAsia"/>
          <w:sz w:val="30"/>
          <w:szCs w:val="30"/>
          <w14:ligatures w14:val="none"/>
        </w:rPr>
      </w:pPr>
      <w:r w:rsidRPr="00F81B2E">
        <w:rPr>
          <w:rFonts w:ascii="仿宋" w:eastAsia="仿宋" w:hAnsi="仿宋" w:cs="仿宋" w:hint="eastAsia"/>
          <w:sz w:val="30"/>
          <w:szCs w:val="30"/>
          <w14:ligatures w14:val="none"/>
        </w:rPr>
        <w:t>京博坚持以客户心为心，时刻关注客户需求，依托全产业链质量管控，持续为客户提供满意的产品和服务。公司秉承"诚信 利他"的经营理念，携手全球合作夥</w:t>
      </w:r>
      <w:proofErr w:type="gramStart"/>
      <w:r w:rsidRPr="00F81B2E">
        <w:rPr>
          <w:rFonts w:ascii="仿宋" w:eastAsia="仿宋" w:hAnsi="仿宋" w:cs="仿宋" w:hint="eastAsia"/>
          <w:sz w:val="30"/>
          <w:szCs w:val="30"/>
          <w14:ligatures w14:val="none"/>
        </w:rPr>
        <w:t>伴融创</w:t>
      </w:r>
      <w:proofErr w:type="gramEnd"/>
      <w:r w:rsidRPr="00F81B2E">
        <w:rPr>
          <w:rFonts w:ascii="仿宋" w:eastAsia="仿宋" w:hAnsi="仿宋" w:cs="仿宋" w:hint="eastAsia"/>
          <w:sz w:val="30"/>
          <w:szCs w:val="30"/>
          <w14:ligatures w14:val="none"/>
        </w:rPr>
        <w:t>未来。</w:t>
      </w:r>
    </w:p>
    <w:p w14:paraId="2BF9DA2E" w14:textId="77777777" w:rsidR="00F81B2E" w:rsidRPr="00F81B2E" w:rsidRDefault="00F81B2E" w:rsidP="00F81B2E">
      <w:pPr>
        <w:widowControl/>
        <w:spacing w:line="520" w:lineRule="exact"/>
        <w:ind w:firstLineChars="200" w:firstLine="600"/>
        <w:rPr>
          <w:rFonts w:ascii="仿宋" w:eastAsia="仿宋" w:hAnsi="仿宋" w:cs="仿宋" w:hint="eastAsia"/>
          <w:sz w:val="30"/>
          <w:szCs w:val="30"/>
          <w14:ligatures w14:val="none"/>
        </w:rPr>
      </w:pPr>
      <w:r w:rsidRPr="00F81B2E">
        <w:rPr>
          <w:rFonts w:ascii="仿宋" w:eastAsia="仿宋" w:hAnsi="仿宋" w:cs="仿宋" w:hint="eastAsia"/>
          <w:sz w:val="30"/>
          <w:szCs w:val="30"/>
          <w14:ligatures w14:val="none"/>
        </w:rPr>
        <w:t>京博始终以可持续发展的眼光看世界，将绿色循环、低碳发展的理念融入研发、生产和经营。公司强化“三废”循环利用，持续奉献环境友好型产品，并通过系统规划发展低碳、零碳、</w:t>
      </w:r>
      <w:proofErr w:type="gramStart"/>
      <w:r w:rsidRPr="00F81B2E">
        <w:rPr>
          <w:rFonts w:ascii="仿宋" w:eastAsia="仿宋" w:hAnsi="仿宋" w:cs="仿宋" w:hint="eastAsia"/>
          <w:sz w:val="30"/>
          <w:szCs w:val="30"/>
          <w14:ligatures w14:val="none"/>
        </w:rPr>
        <w:t>负碳产业</w:t>
      </w:r>
      <w:proofErr w:type="gramEnd"/>
      <w:r w:rsidRPr="00F81B2E">
        <w:rPr>
          <w:rFonts w:ascii="仿宋" w:eastAsia="仿宋" w:hAnsi="仿宋" w:cs="仿宋" w:hint="eastAsia"/>
          <w:sz w:val="30"/>
          <w:szCs w:val="30"/>
          <w14:ligatures w14:val="none"/>
        </w:rPr>
        <w:t>，助力“双碳”战略实施，向着对社会更负责任更有益的企业不断迈进。</w:t>
      </w:r>
    </w:p>
    <w:p w14:paraId="7B3B7164" w14:textId="77777777" w:rsidR="003678BB" w:rsidRPr="00F81B2E" w:rsidRDefault="003678BB">
      <w:pPr>
        <w:rPr>
          <w:rFonts w:hint="eastAsia"/>
        </w:rPr>
      </w:pPr>
    </w:p>
    <w:sectPr w:rsidR="003678BB" w:rsidRPr="00F81B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B2E"/>
    <w:rsid w:val="003678BB"/>
    <w:rsid w:val="009627DF"/>
    <w:rsid w:val="00CB1B7C"/>
    <w:rsid w:val="00F81B2E"/>
    <w:rsid w:val="00FD7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07653"/>
  <w15:chartTrackingRefBased/>
  <w15:docId w15:val="{E21B24BC-3D84-4135-8C81-B6C8C874D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81B2E"/>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F81B2E"/>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F81B2E"/>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F81B2E"/>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F81B2E"/>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F81B2E"/>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F81B2E"/>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81B2E"/>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81B2E"/>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81B2E"/>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F81B2E"/>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F81B2E"/>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F81B2E"/>
    <w:rPr>
      <w:rFonts w:cstheme="majorBidi"/>
      <w:color w:val="0F4761" w:themeColor="accent1" w:themeShade="BF"/>
      <w:sz w:val="28"/>
      <w:szCs w:val="28"/>
    </w:rPr>
  </w:style>
  <w:style w:type="character" w:customStyle="1" w:styleId="50">
    <w:name w:val="标题 5 字符"/>
    <w:basedOn w:val="a0"/>
    <w:link w:val="5"/>
    <w:uiPriority w:val="9"/>
    <w:semiHidden/>
    <w:rsid w:val="00F81B2E"/>
    <w:rPr>
      <w:rFonts w:cstheme="majorBidi"/>
      <w:color w:val="0F4761" w:themeColor="accent1" w:themeShade="BF"/>
      <w:sz w:val="24"/>
      <w:szCs w:val="24"/>
    </w:rPr>
  </w:style>
  <w:style w:type="character" w:customStyle="1" w:styleId="60">
    <w:name w:val="标题 6 字符"/>
    <w:basedOn w:val="a0"/>
    <w:link w:val="6"/>
    <w:uiPriority w:val="9"/>
    <w:semiHidden/>
    <w:rsid w:val="00F81B2E"/>
    <w:rPr>
      <w:rFonts w:cstheme="majorBidi"/>
      <w:b/>
      <w:bCs/>
      <w:color w:val="0F4761" w:themeColor="accent1" w:themeShade="BF"/>
    </w:rPr>
  </w:style>
  <w:style w:type="character" w:customStyle="1" w:styleId="70">
    <w:name w:val="标题 7 字符"/>
    <w:basedOn w:val="a0"/>
    <w:link w:val="7"/>
    <w:uiPriority w:val="9"/>
    <w:semiHidden/>
    <w:rsid w:val="00F81B2E"/>
    <w:rPr>
      <w:rFonts w:cstheme="majorBidi"/>
      <w:b/>
      <w:bCs/>
      <w:color w:val="595959" w:themeColor="text1" w:themeTint="A6"/>
    </w:rPr>
  </w:style>
  <w:style w:type="character" w:customStyle="1" w:styleId="80">
    <w:name w:val="标题 8 字符"/>
    <w:basedOn w:val="a0"/>
    <w:link w:val="8"/>
    <w:uiPriority w:val="9"/>
    <w:semiHidden/>
    <w:rsid w:val="00F81B2E"/>
    <w:rPr>
      <w:rFonts w:cstheme="majorBidi"/>
      <w:color w:val="595959" w:themeColor="text1" w:themeTint="A6"/>
    </w:rPr>
  </w:style>
  <w:style w:type="character" w:customStyle="1" w:styleId="90">
    <w:name w:val="标题 9 字符"/>
    <w:basedOn w:val="a0"/>
    <w:link w:val="9"/>
    <w:uiPriority w:val="9"/>
    <w:semiHidden/>
    <w:rsid w:val="00F81B2E"/>
    <w:rPr>
      <w:rFonts w:eastAsiaTheme="majorEastAsia" w:cstheme="majorBidi"/>
      <w:color w:val="595959" w:themeColor="text1" w:themeTint="A6"/>
    </w:rPr>
  </w:style>
  <w:style w:type="paragraph" w:styleId="a3">
    <w:name w:val="Title"/>
    <w:basedOn w:val="a"/>
    <w:next w:val="a"/>
    <w:link w:val="a4"/>
    <w:uiPriority w:val="10"/>
    <w:qFormat/>
    <w:rsid w:val="00F81B2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81B2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81B2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81B2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81B2E"/>
    <w:pPr>
      <w:spacing w:before="160" w:after="160"/>
      <w:jc w:val="center"/>
    </w:pPr>
    <w:rPr>
      <w:i/>
      <w:iCs/>
      <w:color w:val="404040" w:themeColor="text1" w:themeTint="BF"/>
    </w:rPr>
  </w:style>
  <w:style w:type="character" w:customStyle="1" w:styleId="a8">
    <w:name w:val="引用 字符"/>
    <w:basedOn w:val="a0"/>
    <w:link w:val="a7"/>
    <w:uiPriority w:val="29"/>
    <w:rsid w:val="00F81B2E"/>
    <w:rPr>
      <w:i/>
      <w:iCs/>
      <w:color w:val="404040" w:themeColor="text1" w:themeTint="BF"/>
    </w:rPr>
  </w:style>
  <w:style w:type="paragraph" w:styleId="a9">
    <w:name w:val="List Paragraph"/>
    <w:basedOn w:val="a"/>
    <w:uiPriority w:val="34"/>
    <w:qFormat/>
    <w:rsid w:val="00F81B2E"/>
    <w:pPr>
      <w:ind w:left="720"/>
      <w:contextualSpacing/>
    </w:pPr>
  </w:style>
  <w:style w:type="character" w:styleId="aa">
    <w:name w:val="Intense Emphasis"/>
    <w:basedOn w:val="a0"/>
    <w:uiPriority w:val="21"/>
    <w:qFormat/>
    <w:rsid w:val="00F81B2E"/>
    <w:rPr>
      <w:i/>
      <w:iCs/>
      <w:color w:val="0F4761" w:themeColor="accent1" w:themeShade="BF"/>
    </w:rPr>
  </w:style>
  <w:style w:type="paragraph" w:styleId="ab">
    <w:name w:val="Intense Quote"/>
    <w:basedOn w:val="a"/>
    <w:next w:val="a"/>
    <w:link w:val="ac"/>
    <w:uiPriority w:val="30"/>
    <w:qFormat/>
    <w:rsid w:val="00F81B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F81B2E"/>
    <w:rPr>
      <w:i/>
      <w:iCs/>
      <w:color w:val="0F4761" w:themeColor="accent1" w:themeShade="BF"/>
    </w:rPr>
  </w:style>
  <w:style w:type="character" w:styleId="ad">
    <w:name w:val="Intense Reference"/>
    <w:basedOn w:val="a0"/>
    <w:uiPriority w:val="32"/>
    <w:qFormat/>
    <w:rsid w:val="00F81B2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236</Words>
  <Characters>1346</Characters>
  <Application>Microsoft Office Word</Application>
  <DocSecurity>0</DocSecurity>
  <Lines>11</Lines>
  <Paragraphs>3</Paragraphs>
  <ScaleCrop>false</ScaleCrop>
  <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繁兴 孟</dc:creator>
  <cp:keywords/>
  <dc:description/>
  <cp:lastModifiedBy>繁兴 孟</cp:lastModifiedBy>
  <cp:revision>1</cp:revision>
  <dcterms:created xsi:type="dcterms:W3CDTF">2026-05-12T02:53:00Z</dcterms:created>
  <dcterms:modified xsi:type="dcterms:W3CDTF">2026-05-12T02:53:00Z</dcterms:modified>
</cp:coreProperties>
</file>